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21958AD" w14:textId="29BB5AB9" w:rsidR="000703F8" w:rsidRDefault="00000000" w:rsidP="00491AF6">
      <w:pPr>
        <w:pStyle w:val="Heading1"/>
        <w:spacing w:after="0" w:line="360" w:lineRule="auto"/>
      </w:pPr>
      <w:r>
        <w:t>M2L17</w:t>
      </w:r>
      <w:r w:rsidR="00491AF6">
        <w:t xml:space="preserve">. </w:t>
      </w:r>
      <w:r>
        <w:t>First</w:t>
      </w:r>
      <w:r w:rsidR="00491AF6">
        <w:t xml:space="preserve"> M</w:t>
      </w:r>
      <w:r>
        <w:t>over</w:t>
      </w:r>
      <w:r w:rsidR="00491AF6">
        <w:t xml:space="preserve"> A</w:t>
      </w:r>
      <w:r>
        <w:t>dvantage</w:t>
      </w:r>
    </w:p>
    <w:p w14:paraId="1DA11428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7600445" w14:textId="67DF4C59" w:rsidR="00491AF6" w:rsidRDefault="00491AF6" w:rsidP="00491AF6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24EC560D" wp14:editId="256146E6">
            <wp:extent cx="5731510" cy="3213100"/>
            <wp:effectExtent l="0" t="0" r="2540" b="6350"/>
            <wp:docPr id="1988987213" name="Picture 1" descr="First Mover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87213" name="Picture 1" descr="First Mover Advanta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91A3" w14:textId="5BA643F1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In this topic, we will discuss the first mover advantage</w:t>
      </w:r>
      <w:r>
        <w:rPr>
          <w:rFonts w:ascii="Open Sans" w:hAnsi="Open Sans" w:cs="Open Sans"/>
          <w:sz w:val="24"/>
          <w:szCs w:val="24"/>
        </w:rPr>
        <w:t>.</w:t>
      </w:r>
    </w:p>
    <w:p w14:paraId="3EA11A07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E189A41" w14:textId="1EAD6665" w:rsidR="00491AF6" w:rsidRDefault="00491AF6" w:rsidP="00491AF6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77C29EA6" wp14:editId="6D09A08E">
            <wp:extent cx="5731510" cy="3203575"/>
            <wp:effectExtent l="0" t="0" r="2540" b="0"/>
            <wp:docPr id="1493512903" name="Picture 2" descr="Int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12903" name="Picture 2" descr="Introduc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835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O</w:t>
      </w:r>
      <w:r w:rsidRPr="00491AF6">
        <w:rPr>
          <w:rFonts w:ascii="Open Sans" w:hAnsi="Open Sans" w:cs="Open Sans"/>
          <w:sz w:val="24"/>
          <w:szCs w:val="24"/>
        </w:rPr>
        <w:t>ne very powerful status quo implication in the business world</w:t>
      </w:r>
      <w:r>
        <w:rPr>
          <w:rFonts w:ascii="Open Sans" w:hAnsi="Open Sans" w:cs="Open Sans"/>
          <w:sz w:val="24"/>
          <w:szCs w:val="24"/>
        </w:rPr>
        <w:t>,</w:t>
      </w:r>
      <w:r w:rsidRPr="00491AF6">
        <w:rPr>
          <w:rFonts w:ascii="Open Sans" w:hAnsi="Open Sans" w:cs="Open Sans"/>
          <w:sz w:val="24"/>
          <w:szCs w:val="24"/>
        </w:rPr>
        <w:t xml:space="preserve"> especially in the technology and engineering field, is the first mover advantage. </w:t>
      </w:r>
    </w:p>
    <w:p w14:paraId="3864FEEC" w14:textId="45706246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First mover position brings a significant competitive advantage to a company as the first movers establish a status quo type of situation that followers must </w:t>
      </w:r>
      <w:proofErr w:type="gramStart"/>
      <w:r w:rsidRPr="00491AF6">
        <w:rPr>
          <w:rFonts w:ascii="Open Sans" w:hAnsi="Open Sans" w:cs="Open Sans"/>
          <w:sz w:val="24"/>
          <w:szCs w:val="24"/>
        </w:rPr>
        <w:t>overcome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or followers tend to follow.</w:t>
      </w:r>
    </w:p>
    <w:p w14:paraId="6A282232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13449FB" w14:textId="1D33F237" w:rsidR="00491AF6" w:rsidRDefault="00491AF6" w:rsidP="00491AF6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9FD9F3A" wp14:editId="2A1E720A">
            <wp:extent cx="5731510" cy="3199130"/>
            <wp:effectExtent l="0" t="0" r="2540" b="1270"/>
            <wp:docPr id="157607010" name="Picture 3" descr="Technological Leader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7010" name="Picture 3" descr="Technological Leadershi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E048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primary source of first mover advantage is technological leadership. </w:t>
      </w:r>
    </w:p>
    <w:p w14:paraId="709C3F61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First movers develop the practical applications of technology. </w:t>
      </w:r>
    </w:p>
    <w:p w14:paraId="4E82D55E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They also define the functionality of a new product, technology, and engineering standards for a new industry and product category. </w:t>
      </w:r>
    </w:p>
    <w:p w14:paraId="7C07090E" w14:textId="35385E35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For example, in the energy industry, the industry leaders sponsor a consortium to develop and define technical and engineering standards for the oil and gas segment.</w:t>
      </w:r>
    </w:p>
    <w:p w14:paraId="4D0AC355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F581888" w14:textId="6E1E3676" w:rsidR="00491AF6" w:rsidRDefault="00491AF6" w:rsidP="00491AF6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7FCEA6A" wp14:editId="3544C3F6">
            <wp:extent cx="5731510" cy="3192780"/>
            <wp:effectExtent l="0" t="0" r="2540" b="7620"/>
            <wp:docPr id="697790116" name="Picture 4" descr="Pre-emption of Ass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90116" name="Picture 4" descr="Pre-emption of Asset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852D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second major source of first mover advantage is the preemption of assets. </w:t>
      </w:r>
    </w:p>
    <w:p w14:paraId="42C484C3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A good example is the communication frequency that phone carriers own and control. </w:t>
      </w:r>
    </w:p>
    <w:p w14:paraId="39AA7730" w14:textId="3D92C60C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In those kinds of industries where the asset is the primary competitive advantage, maintaining status quo or doing nothing is probably not a sound option.</w:t>
      </w:r>
    </w:p>
    <w:p w14:paraId="7E94BA2E" w14:textId="5BAB4334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Companies in those industries must actively acquire valuable assets to maintain their competitive advantage.</w:t>
      </w:r>
    </w:p>
    <w:p w14:paraId="5D8767AA" w14:textId="36052609" w:rsidR="00491AF6" w:rsidRDefault="00491AF6" w:rsidP="00491AF6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5485A831" wp14:editId="0220896D">
            <wp:extent cx="5731510" cy="3234690"/>
            <wp:effectExtent l="0" t="0" r="2540" b="3810"/>
            <wp:docPr id="2049917147" name="Picture 5" descr="Buyers switching c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17147" name="Picture 5" descr="Buyers switching cos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A71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Another major source of first mover advantage is the buyer's switching cost. </w:t>
      </w:r>
    </w:p>
    <w:p w14:paraId="356C5171" w14:textId="082614D8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The industry pioneers first mover advantage increases the cost of their customers to switch to new competing products.</w:t>
      </w:r>
    </w:p>
    <w:p w14:paraId="69A28F65" w14:textId="177D38BD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When you are considering a switch from </w:t>
      </w:r>
      <w:proofErr w:type="gramStart"/>
      <w:r w:rsidRPr="00491AF6">
        <w:rPr>
          <w:rFonts w:ascii="Open Sans" w:hAnsi="Open Sans" w:cs="Open Sans"/>
          <w:sz w:val="24"/>
          <w:szCs w:val="24"/>
        </w:rPr>
        <w:t>a current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engineering software to a new one, you must consider the additional training you need to provide to your engineers and the cost of data migration.</w:t>
      </w:r>
    </w:p>
    <w:p w14:paraId="45B46EDB" w14:textId="07F4B96F" w:rsidR="00491AF6" w:rsidRDefault="00491AF6" w:rsidP="00491AF6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6B849A6E" wp14:editId="331D3254">
            <wp:extent cx="5731510" cy="3206115"/>
            <wp:effectExtent l="0" t="0" r="2540" b="0"/>
            <wp:docPr id="857190354" name="Picture 6" descr="First-mover advantage creates strategic ba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0354" name="Picture 6" descr="First-mover advantage creates strategic barri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01DC" w14:textId="77777777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The first mover advantage is a valid source of status quo bias when executives make new product decisions.</w:t>
      </w:r>
    </w:p>
    <w:p w14:paraId="4CE48352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first mover advantage creates strategic barriers for the follower companies to challenge the established competitive landscape of an industry. </w:t>
      </w:r>
    </w:p>
    <w:p w14:paraId="013B5169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industry leaders desire to maintain the business status quo which benefits their companies in the short term. </w:t>
      </w:r>
    </w:p>
    <w:p w14:paraId="54003787" w14:textId="758EC57D" w:rsidR="00491AF6" w:rsidRP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Industry followers are also reluctant to take the extra risk and the cost to challenge the existing order of the industry, even though they </w:t>
      </w:r>
      <w:proofErr w:type="gramStart"/>
      <w:r w:rsidRPr="00491AF6">
        <w:rPr>
          <w:rFonts w:ascii="Open Sans" w:hAnsi="Open Sans" w:cs="Open Sans"/>
          <w:sz w:val="24"/>
          <w:szCs w:val="24"/>
        </w:rPr>
        <w:t>had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to challenge the business norm to be more competitive with the industry leaders.</w:t>
      </w:r>
    </w:p>
    <w:p w14:paraId="44A4EFD6" w14:textId="77777777" w:rsidR="00491AF6" w:rsidRDefault="00491AF6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516697D" w14:textId="359F3597" w:rsidR="00491AF6" w:rsidRDefault="00491AF6" w:rsidP="00491AF6">
      <w:pPr>
        <w:pStyle w:val="Heading2"/>
        <w:spacing w:before="120" w:line="360" w:lineRule="auto"/>
      </w:pPr>
      <w:r w:rsidRPr="00491AF6">
        <w:lastRenderedPageBreak/>
        <w:t>Slide #7</w:t>
      </w:r>
      <w:r>
        <w:rPr>
          <w:noProof/>
        </w:rPr>
        <w:drawing>
          <wp:inline distT="0" distB="0" distL="0" distR="0" wp14:anchorId="3D9CEF70" wp14:editId="5EBA7B68">
            <wp:extent cx="5731510" cy="3191510"/>
            <wp:effectExtent l="0" t="0" r="2540" b="8890"/>
            <wp:docPr id="654030259" name="Picture 7" descr="Market/technology scen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30259" name="Picture 7" descr="Market/technology scenario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F604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This table summarizes under what conditions first mover advantage is valuable to a company and for what type of industry first mover does not provide a durable competitive advantage. </w:t>
      </w:r>
    </w:p>
    <w:p w14:paraId="3F79FFF1" w14:textId="5BAEEC81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business insights summarized in this table will help you to decide when to challenge </w:t>
      </w:r>
      <w:proofErr w:type="gramStart"/>
      <w:r w:rsidRPr="00491AF6">
        <w:rPr>
          <w:rFonts w:ascii="Open Sans" w:hAnsi="Open Sans" w:cs="Open Sans"/>
          <w:sz w:val="24"/>
          <w:szCs w:val="24"/>
        </w:rPr>
        <w:t>status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quo and when to maintain and follow the status quo when making strategic product and capability decisions for your company.</w:t>
      </w:r>
    </w:p>
    <w:p w14:paraId="44EAF9E8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In a stable market, </w:t>
      </w:r>
      <w:proofErr w:type="gramStart"/>
      <w:r w:rsidRPr="00491AF6">
        <w:rPr>
          <w:rFonts w:ascii="Open Sans" w:hAnsi="Open Sans" w:cs="Open Sans"/>
          <w:sz w:val="24"/>
          <w:szCs w:val="24"/>
        </w:rPr>
        <w:t>first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mover will certainly pay off. </w:t>
      </w:r>
    </w:p>
    <w:p w14:paraId="68A32F43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 industry pioneers can use the first mover advantage to build up their brand awareness to establish a stronghold in the stable market. </w:t>
      </w:r>
    </w:p>
    <w:p w14:paraId="465C8CFA" w14:textId="755D673D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In other types of markets, where there is a </w:t>
      </w:r>
      <w:proofErr w:type="gramStart"/>
      <w:r w:rsidRPr="00491AF6">
        <w:rPr>
          <w:rFonts w:ascii="Open Sans" w:hAnsi="Open Sans" w:cs="Open Sans"/>
          <w:sz w:val="24"/>
          <w:szCs w:val="24"/>
        </w:rPr>
        <w:t>fast growing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market demand and a low pace of </w:t>
      </w:r>
      <w:proofErr w:type="gramStart"/>
      <w:r w:rsidRPr="00491AF6">
        <w:rPr>
          <w:rFonts w:ascii="Open Sans" w:hAnsi="Open Sans" w:cs="Open Sans"/>
          <w:sz w:val="24"/>
          <w:szCs w:val="24"/>
        </w:rPr>
        <w:t>technology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evolution, such as the onshore oil and gas industry, </w:t>
      </w:r>
      <w:r w:rsidR="00491AF6">
        <w:rPr>
          <w:rFonts w:ascii="Open Sans" w:hAnsi="Open Sans" w:cs="Open Sans"/>
          <w:sz w:val="24"/>
          <w:szCs w:val="24"/>
        </w:rPr>
        <w:t>f</w:t>
      </w:r>
      <w:r w:rsidRPr="00491AF6">
        <w:rPr>
          <w:rFonts w:ascii="Open Sans" w:hAnsi="Open Sans" w:cs="Open Sans"/>
          <w:sz w:val="24"/>
          <w:szCs w:val="24"/>
        </w:rPr>
        <w:t xml:space="preserve">irst </w:t>
      </w:r>
      <w:r w:rsidR="00491AF6">
        <w:rPr>
          <w:rFonts w:ascii="Open Sans" w:hAnsi="Open Sans" w:cs="Open Sans"/>
          <w:sz w:val="24"/>
          <w:szCs w:val="24"/>
        </w:rPr>
        <w:t>m</w:t>
      </w:r>
      <w:r w:rsidRPr="00491AF6">
        <w:rPr>
          <w:rFonts w:ascii="Open Sans" w:hAnsi="Open Sans" w:cs="Open Sans"/>
          <w:sz w:val="24"/>
          <w:szCs w:val="24"/>
        </w:rPr>
        <w:t>over is likely to provide a durable, competitive advantage.</w:t>
      </w:r>
    </w:p>
    <w:p w14:paraId="2DCDCC54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In this kind of industry, large scale production capability provides a significant advantage for a company over its competitors. </w:t>
      </w:r>
    </w:p>
    <w:p w14:paraId="67993726" w14:textId="53CA74FF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lastRenderedPageBreak/>
        <w:t xml:space="preserve">However, for the industry in the environment of a </w:t>
      </w:r>
      <w:r w:rsidR="00491AF6" w:rsidRPr="00491AF6">
        <w:rPr>
          <w:rFonts w:ascii="Open Sans" w:hAnsi="Open Sans" w:cs="Open Sans"/>
          <w:sz w:val="24"/>
          <w:szCs w:val="24"/>
        </w:rPr>
        <w:t>fast-growing</w:t>
      </w:r>
      <w:r w:rsidRPr="00491AF6">
        <w:rPr>
          <w:rFonts w:ascii="Open Sans" w:hAnsi="Open Sans" w:cs="Open Sans"/>
          <w:sz w:val="24"/>
          <w:szCs w:val="24"/>
        </w:rPr>
        <w:t xml:space="preserve"> market demand and the high pace of </w:t>
      </w:r>
      <w:proofErr w:type="gramStart"/>
      <w:r w:rsidRPr="00491AF6">
        <w:rPr>
          <w:rFonts w:ascii="Open Sans" w:hAnsi="Open Sans" w:cs="Open Sans"/>
          <w:sz w:val="24"/>
          <w:szCs w:val="24"/>
        </w:rPr>
        <w:t>technology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evolution, such as the smartphone industry, first mover is unlikely to provide a durable competitive advantage.</w:t>
      </w:r>
    </w:p>
    <w:p w14:paraId="61B5BAAF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Both industry pioneers and their followers must keep innovating, frequently launch new products, and grow their production and distribution network </w:t>
      </w:r>
      <w:proofErr w:type="gramStart"/>
      <w:r w:rsidRPr="00491AF6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differentiate themselves from other competitors and expand their market shares. </w:t>
      </w:r>
    </w:p>
    <w:p w14:paraId="7BE58EF5" w14:textId="18F748EF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Deep water drilling and shale oil and gas industries are relatively stable, but with a high pace of </w:t>
      </w:r>
      <w:proofErr w:type="gramStart"/>
      <w:r w:rsidRPr="00491AF6">
        <w:rPr>
          <w:rFonts w:ascii="Open Sans" w:hAnsi="Open Sans" w:cs="Open Sans"/>
          <w:sz w:val="24"/>
          <w:szCs w:val="24"/>
        </w:rPr>
        <w:t>technology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evolution.</w:t>
      </w:r>
    </w:p>
    <w:p w14:paraId="70F01956" w14:textId="77777777" w:rsid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 xml:space="preserve">They are quite </w:t>
      </w:r>
      <w:proofErr w:type="gramStart"/>
      <w:r w:rsidRPr="00491AF6">
        <w:rPr>
          <w:rFonts w:ascii="Open Sans" w:hAnsi="Open Sans" w:cs="Open Sans"/>
          <w:sz w:val="24"/>
          <w:szCs w:val="24"/>
        </w:rPr>
        <w:t>similar to</w:t>
      </w:r>
      <w:proofErr w:type="gramEnd"/>
      <w:r w:rsidRPr="00491AF6">
        <w:rPr>
          <w:rFonts w:ascii="Open Sans" w:hAnsi="Open Sans" w:cs="Open Sans"/>
          <w:sz w:val="24"/>
          <w:szCs w:val="24"/>
        </w:rPr>
        <w:t xml:space="preserve"> the digital camera industry, where incremental technologies continuously improve product functions and increase production efficiency. </w:t>
      </w:r>
    </w:p>
    <w:p w14:paraId="30AA4B42" w14:textId="13C7BED1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For companies in this kind of environment, first mover provides some level of protection, but the competitive barriers are breakable and therefore companies with strong R&amp; D capability and a strong balance sheet should not be afraid of challenging the status quo.</w:t>
      </w:r>
    </w:p>
    <w:p w14:paraId="1015FF5E" w14:textId="77777777" w:rsidR="000703F8" w:rsidRPr="00491AF6" w:rsidRDefault="00000000" w:rsidP="00491AF6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491AF6">
        <w:rPr>
          <w:rFonts w:ascii="Open Sans" w:hAnsi="Open Sans" w:cs="Open Sans"/>
          <w:sz w:val="24"/>
          <w:szCs w:val="24"/>
        </w:rPr>
        <w:t>They should actively seek new technologies, new ways of doing business, and new market opportunities to grow their business.</w:t>
      </w:r>
    </w:p>
    <w:sectPr w:rsidR="000703F8" w:rsidRPr="00491A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9A53C2"/>
    <w:multiLevelType w:val="hybridMultilevel"/>
    <w:tmpl w:val="0E02DC9E"/>
    <w:lvl w:ilvl="0" w:tplc="1E3E7A32">
      <w:start w:val="1"/>
      <w:numFmt w:val="bullet"/>
      <w:lvlText w:val="●"/>
      <w:lvlJc w:val="left"/>
      <w:pPr>
        <w:ind w:left="720" w:hanging="360"/>
      </w:pPr>
    </w:lvl>
    <w:lvl w:ilvl="1" w:tplc="48B4A434">
      <w:start w:val="1"/>
      <w:numFmt w:val="bullet"/>
      <w:lvlText w:val="○"/>
      <w:lvlJc w:val="left"/>
      <w:pPr>
        <w:ind w:left="1440" w:hanging="360"/>
      </w:pPr>
    </w:lvl>
    <w:lvl w:ilvl="2" w:tplc="ED0ECE80">
      <w:start w:val="1"/>
      <w:numFmt w:val="bullet"/>
      <w:lvlText w:val="■"/>
      <w:lvlJc w:val="left"/>
      <w:pPr>
        <w:ind w:left="2160" w:hanging="360"/>
      </w:pPr>
    </w:lvl>
    <w:lvl w:ilvl="3" w:tplc="C228F5E6">
      <w:start w:val="1"/>
      <w:numFmt w:val="bullet"/>
      <w:lvlText w:val="●"/>
      <w:lvlJc w:val="left"/>
      <w:pPr>
        <w:ind w:left="2880" w:hanging="360"/>
      </w:pPr>
    </w:lvl>
    <w:lvl w:ilvl="4" w:tplc="360CF9AA">
      <w:start w:val="1"/>
      <w:numFmt w:val="bullet"/>
      <w:lvlText w:val="○"/>
      <w:lvlJc w:val="left"/>
      <w:pPr>
        <w:ind w:left="3600" w:hanging="360"/>
      </w:pPr>
    </w:lvl>
    <w:lvl w:ilvl="5" w:tplc="8D02EA44">
      <w:start w:val="1"/>
      <w:numFmt w:val="bullet"/>
      <w:lvlText w:val="■"/>
      <w:lvlJc w:val="left"/>
      <w:pPr>
        <w:ind w:left="4320" w:hanging="360"/>
      </w:pPr>
    </w:lvl>
    <w:lvl w:ilvl="6" w:tplc="EB2E08CC">
      <w:start w:val="1"/>
      <w:numFmt w:val="bullet"/>
      <w:lvlText w:val="●"/>
      <w:lvlJc w:val="left"/>
      <w:pPr>
        <w:ind w:left="5040" w:hanging="360"/>
      </w:pPr>
    </w:lvl>
    <w:lvl w:ilvl="7" w:tplc="B8CE4D1A">
      <w:start w:val="1"/>
      <w:numFmt w:val="bullet"/>
      <w:lvlText w:val="●"/>
      <w:lvlJc w:val="left"/>
      <w:pPr>
        <w:ind w:left="5760" w:hanging="360"/>
      </w:pPr>
    </w:lvl>
    <w:lvl w:ilvl="8" w:tplc="2FC29CBC">
      <w:start w:val="1"/>
      <w:numFmt w:val="bullet"/>
      <w:lvlText w:val="●"/>
      <w:lvlJc w:val="left"/>
      <w:pPr>
        <w:ind w:left="6480" w:hanging="360"/>
      </w:pPr>
    </w:lvl>
  </w:abstractNum>
  <w:num w:numId="1" w16cid:durableId="2046980190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03F8"/>
    <w:rsid w:val="000703F8"/>
    <w:rsid w:val="00491AF6"/>
    <w:rsid w:val="006C5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41A93"/>
  <w15:docId w15:val="{964B5646-6AD1-461D-ACA6-D5F26041C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491AF6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491AF6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M2L17_First-mover-advantage</vt:lpstr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First Mover Advantage</dc:title>
  <dc:creator>Un-named</dc:creator>
  <cp:lastModifiedBy>Williams, Elisabeth G</cp:lastModifiedBy>
  <cp:revision>2</cp:revision>
  <cp:lastPrinted>2024-07-24T20:51:00Z</cp:lastPrinted>
  <dcterms:created xsi:type="dcterms:W3CDTF">2024-07-24T20:51:00Z</dcterms:created>
  <dcterms:modified xsi:type="dcterms:W3CDTF">2024-07-24T20:51:00Z</dcterms:modified>
</cp:coreProperties>
</file>